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Dear [MS Name],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am writing as a holiday cottage owner in [YOUR LOCATION] to express my concern about the current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182-night occupancy threshold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for self-catering businesses in Wales.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Introduced in April 2023, the rule requires holiday cottages to be let for half the year to qualify for business rates. More than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30 months on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it is clear this is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unrealistic, unfair, and damaging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genuine small operators in rural and seasonal areas.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support the principle of tackling underused second homes. But the current policy punishes responsible, community-rooted businesses who work hard to promote their properties yet cannot stretch demand across six months of the year.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Welsh Government’s own consultation showed that the fairest compromise was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105 nights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this was the most common response. Only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nine respondents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supported 182 nights. Yet the Government ignored this evidence and chose the most extreme option.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make the system fair and workable, I am asking you to support two changes: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Reduce the threshold to 105 nights -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the level supported in consultation, reflecting the seasonal realities of rural Wales.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Introduce a two-year grace period -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 an owner falls short in one year (due to illness, repairs, or hardship), they have another year to reach the threshold before penalties apply.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changes would still prevent abuse of the system by second homes, while giving genuine small businesses a fair chance to succeed. They would protect local supply chains - from cleaners to tradespeople to cafés - and  sustain the rural economy on which our communities depend.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respectfully urge you to raise this issue in the Senedd and press for a fairer, more proportionate policy.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Yours sincerely,</w:t>
        <w:br w:type="textWrapping"/>
        <w:t xml:space="preserve"> [Your Name]</w:t>
        <w:br w:type="textWrapping"/>
        <w:t xml:space="preserve"> [Business Name]</w:t>
        <w:br w:type="textWrapping"/>
        <w:t xml:space="preserve"> [Postcode]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C23A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C23A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C23A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C23A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C23A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C23A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C23A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C23A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C23A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C23A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C23A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C23A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C23A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C23A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C23A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C23A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C23A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C23A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C23A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23A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C23A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d7qQuZ+QNklvZe4n4W+5PsJmw==">CgMxLjA4AHIhMVBkM1BSWHMtS20tcUNxQ1JCaU1Ha1gtWWlfV1JNODRP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2025-08-21T09:41:00Z</dcterms:created>
  <dc:creator>Louise McWatt</dc:creator>
</cp:coreProperties>
</file>